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A8D5D" w14:textId="77777777" w:rsidR="00D10C88" w:rsidRDefault="00D10C88" w:rsidP="003961DF">
      <w:pPr>
        <w:jc w:val="center"/>
        <w:rPr>
          <w:rFonts w:eastAsia="Times New Roman" w:cs="Times New Roman"/>
          <w:b/>
          <w:bCs/>
          <w:szCs w:val="24"/>
        </w:rPr>
      </w:pPr>
    </w:p>
    <w:p w14:paraId="4D0E095E" w14:textId="77777777" w:rsidR="000C3D34" w:rsidRPr="003961DF" w:rsidRDefault="00AE101D" w:rsidP="00083086">
      <w:pPr>
        <w:spacing w:after="0"/>
        <w:ind w:firstLine="0"/>
        <w:jc w:val="center"/>
        <w:rPr>
          <w:rFonts w:eastAsia="Times New Roman" w:cs="Times New Roman"/>
          <w:b/>
          <w:bCs/>
          <w:szCs w:val="24"/>
        </w:rPr>
      </w:pPr>
      <w:r w:rsidRPr="003961DF">
        <w:rPr>
          <w:rFonts w:eastAsia="Times New Roman" w:cs="Times New Roman"/>
          <w:b/>
          <w:bCs/>
          <w:szCs w:val="24"/>
        </w:rPr>
        <w:t xml:space="preserve">Application </w:t>
      </w:r>
      <w:r>
        <w:rPr>
          <w:rFonts w:eastAsia="Times New Roman" w:cs="Times New Roman"/>
          <w:b/>
          <w:bCs/>
          <w:szCs w:val="24"/>
        </w:rPr>
        <w:t>o</w:t>
      </w:r>
      <w:r w:rsidRPr="003961DF">
        <w:rPr>
          <w:rFonts w:eastAsia="Times New Roman" w:cs="Times New Roman"/>
          <w:b/>
          <w:bCs/>
          <w:szCs w:val="24"/>
        </w:rPr>
        <w:t>f Population Health Improvement Initiative Outcomes</w:t>
      </w:r>
    </w:p>
    <w:p w14:paraId="2E8A3A29" w14:textId="77777777" w:rsidR="003961DF" w:rsidRDefault="003961DF" w:rsidP="00083086">
      <w:pPr>
        <w:spacing w:after="0"/>
        <w:ind w:firstLine="0"/>
        <w:jc w:val="center"/>
        <w:rPr>
          <w:rFonts w:eastAsia="Times New Roman" w:cs="Times New Roman"/>
          <w:szCs w:val="24"/>
        </w:rPr>
      </w:pPr>
    </w:p>
    <w:p w14:paraId="07E5F6AA" w14:textId="77777777" w:rsidR="003961DF" w:rsidRDefault="003961DF" w:rsidP="00083086">
      <w:pPr>
        <w:spacing w:after="0"/>
        <w:ind w:firstLine="0"/>
        <w:jc w:val="center"/>
        <w:rPr>
          <w:rFonts w:eastAsia="Times New Roman" w:cs="Times New Roman"/>
          <w:szCs w:val="24"/>
        </w:rPr>
      </w:pPr>
    </w:p>
    <w:p w14:paraId="1C347AFA" w14:textId="77777777" w:rsidR="00D10C88" w:rsidRDefault="00D10C88" w:rsidP="00083086">
      <w:pPr>
        <w:spacing w:after="0"/>
        <w:ind w:firstLine="0"/>
        <w:jc w:val="center"/>
        <w:rPr>
          <w:rFonts w:eastAsia="Times New Roman" w:cs="Times New Roman"/>
          <w:szCs w:val="24"/>
        </w:rPr>
      </w:pPr>
    </w:p>
    <w:p w14:paraId="245E8A89" w14:textId="77777777" w:rsidR="00D10C88" w:rsidRDefault="00D10C88" w:rsidP="00083086">
      <w:pPr>
        <w:spacing w:after="0"/>
        <w:ind w:firstLine="0"/>
        <w:jc w:val="center"/>
        <w:rPr>
          <w:rFonts w:eastAsia="Times New Roman" w:cs="Times New Roman"/>
          <w:szCs w:val="24"/>
        </w:rPr>
      </w:pPr>
    </w:p>
    <w:p w14:paraId="59F568B5" w14:textId="48058C29" w:rsidR="003961DF" w:rsidRDefault="00AE101D" w:rsidP="00083086">
      <w:pPr>
        <w:spacing w:after="0"/>
        <w:ind w:firstLine="0"/>
        <w:jc w:val="center"/>
        <w:rPr>
          <w:rFonts w:eastAsia="Times New Roman" w:cs="Times New Roman"/>
          <w:szCs w:val="24"/>
        </w:rPr>
      </w:pPr>
      <w:r>
        <w:rPr>
          <w:rFonts w:eastAsia="Times New Roman" w:cs="Times New Roman"/>
          <w:szCs w:val="24"/>
        </w:rPr>
        <w:t>Name</w:t>
      </w:r>
    </w:p>
    <w:p w14:paraId="36BED7C6" w14:textId="77777777" w:rsidR="003961DF" w:rsidRDefault="00AE101D" w:rsidP="00083086">
      <w:pPr>
        <w:spacing w:after="0"/>
        <w:ind w:firstLine="0"/>
        <w:jc w:val="center"/>
        <w:rPr>
          <w:rFonts w:eastAsia="Times New Roman" w:cs="Times New Roman"/>
          <w:szCs w:val="24"/>
        </w:rPr>
      </w:pPr>
      <w:r>
        <w:rPr>
          <w:rFonts w:eastAsia="Times New Roman" w:cs="Times New Roman"/>
          <w:szCs w:val="24"/>
        </w:rPr>
        <w:t>Institutional Affiliation</w:t>
      </w:r>
    </w:p>
    <w:p w14:paraId="52688F9C" w14:textId="77777777" w:rsidR="003961DF" w:rsidRDefault="00AE101D" w:rsidP="00083086">
      <w:pPr>
        <w:spacing w:after="0"/>
        <w:ind w:firstLine="0"/>
        <w:jc w:val="center"/>
        <w:rPr>
          <w:rFonts w:eastAsia="Times New Roman" w:cs="Times New Roman"/>
          <w:szCs w:val="24"/>
        </w:rPr>
      </w:pPr>
      <w:r>
        <w:rPr>
          <w:rFonts w:eastAsia="Times New Roman" w:cs="Times New Roman"/>
          <w:szCs w:val="24"/>
        </w:rPr>
        <w:t>Course Name</w:t>
      </w:r>
    </w:p>
    <w:p w14:paraId="105A34DB" w14:textId="77777777" w:rsidR="003961DF" w:rsidRDefault="00AE101D" w:rsidP="00083086">
      <w:pPr>
        <w:spacing w:after="0"/>
        <w:ind w:firstLine="0"/>
        <w:jc w:val="center"/>
        <w:rPr>
          <w:rFonts w:eastAsia="Times New Roman" w:cs="Times New Roman"/>
          <w:szCs w:val="24"/>
        </w:rPr>
      </w:pPr>
      <w:r>
        <w:rPr>
          <w:rFonts w:eastAsia="Times New Roman" w:cs="Times New Roman"/>
          <w:szCs w:val="24"/>
        </w:rPr>
        <w:t>Course Code</w:t>
      </w:r>
    </w:p>
    <w:p w14:paraId="6FAA7F96" w14:textId="77777777" w:rsidR="003961DF" w:rsidRDefault="00AE101D" w:rsidP="00083086">
      <w:pPr>
        <w:spacing w:after="0"/>
        <w:ind w:firstLine="0"/>
        <w:jc w:val="center"/>
        <w:rPr>
          <w:rFonts w:eastAsia="Times New Roman" w:cs="Times New Roman"/>
          <w:szCs w:val="24"/>
        </w:rPr>
      </w:pPr>
      <w:r>
        <w:rPr>
          <w:rFonts w:eastAsia="Times New Roman" w:cs="Times New Roman"/>
          <w:szCs w:val="24"/>
        </w:rPr>
        <w:t>Professor</w:t>
      </w:r>
    </w:p>
    <w:p w14:paraId="7AED8903" w14:textId="15DFDBF2" w:rsidR="003961DF" w:rsidRDefault="00AE101D" w:rsidP="00083086">
      <w:pPr>
        <w:spacing w:after="0"/>
        <w:ind w:firstLine="0"/>
        <w:jc w:val="center"/>
        <w:rPr>
          <w:rFonts w:eastAsia="Times New Roman" w:cs="Times New Roman"/>
          <w:szCs w:val="24"/>
        </w:rPr>
      </w:pPr>
      <w:r>
        <w:rPr>
          <w:rFonts w:eastAsia="Times New Roman" w:cs="Times New Roman"/>
          <w:szCs w:val="24"/>
        </w:rPr>
        <w:t>Date</w:t>
      </w:r>
    </w:p>
    <w:p w14:paraId="05AE2B1C" w14:textId="77777777" w:rsidR="003961DF" w:rsidRDefault="00AE101D">
      <w:pPr>
        <w:spacing w:line="259" w:lineRule="auto"/>
        <w:ind w:firstLine="0"/>
        <w:rPr>
          <w:rFonts w:eastAsia="Times New Roman" w:cs="Times New Roman"/>
          <w:szCs w:val="24"/>
        </w:rPr>
      </w:pPr>
      <w:r>
        <w:rPr>
          <w:rFonts w:eastAsia="Times New Roman" w:cs="Times New Roman"/>
          <w:szCs w:val="24"/>
        </w:rPr>
        <w:br w:type="page"/>
      </w:r>
    </w:p>
    <w:p w14:paraId="05B87DC2" w14:textId="77777777" w:rsidR="003961DF" w:rsidRDefault="00AE101D" w:rsidP="00083086">
      <w:pPr>
        <w:ind w:firstLine="0"/>
        <w:jc w:val="center"/>
        <w:rPr>
          <w:rFonts w:eastAsia="Times New Roman" w:cs="Times New Roman"/>
          <w:b/>
          <w:bCs/>
          <w:szCs w:val="24"/>
        </w:rPr>
      </w:pPr>
      <w:r w:rsidRPr="003961DF">
        <w:rPr>
          <w:rFonts w:eastAsia="Times New Roman" w:cs="Times New Roman"/>
          <w:b/>
          <w:bCs/>
          <w:szCs w:val="24"/>
        </w:rPr>
        <w:lastRenderedPageBreak/>
        <w:t xml:space="preserve">Application </w:t>
      </w:r>
      <w:r>
        <w:rPr>
          <w:rFonts w:eastAsia="Times New Roman" w:cs="Times New Roman"/>
          <w:b/>
          <w:bCs/>
          <w:szCs w:val="24"/>
        </w:rPr>
        <w:t>o</w:t>
      </w:r>
      <w:r w:rsidRPr="003961DF">
        <w:rPr>
          <w:rFonts w:eastAsia="Times New Roman" w:cs="Times New Roman"/>
          <w:b/>
          <w:bCs/>
          <w:szCs w:val="24"/>
        </w:rPr>
        <w:t>f Population Health Improvement Initiative Outcomes</w:t>
      </w:r>
    </w:p>
    <w:p w14:paraId="11BD31E1" w14:textId="77777777" w:rsidR="001C07F5" w:rsidRPr="00963732" w:rsidRDefault="00AE101D" w:rsidP="00083086">
      <w:pPr>
        <w:spacing w:after="0"/>
        <w:ind w:firstLine="0"/>
        <w:jc w:val="center"/>
        <w:rPr>
          <w:rFonts w:cs="Times New Roman"/>
          <w:b/>
          <w:bCs/>
          <w:szCs w:val="24"/>
        </w:rPr>
      </w:pPr>
      <w:r w:rsidRPr="00963732">
        <w:rPr>
          <w:rFonts w:cs="Times New Roman"/>
          <w:b/>
          <w:bCs/>
          <w:szCs w:val="24"/>
        </w:rPr>
        <w:t>Patient-Centered Care Report</w:t>
      </w:r>
    </w:p>
    <w:p w14:paraId="222F3345" w14:textId="77777777" w:rsidR="001D49CA" w:rsidRPr="003961DF" w:rsidRDefault="00AE101D" w:rsidP="001D49CA">
      <w:r>
        <w:t xml:space="preserve">Population health </w:t>
      </w:r>
      <w:r w:rsidR="00124BE1">
        <w:t xml:space="preserve">encompasses the physical, mental, social, and economic well-being of a defined group of related individuals and outcomes from managing these well-being domains. </w:t>
      </w:r>
      <w:r>
        <w:t xml:space="preserve"> </w:t>
      </w:r>
      <w:r w:rsidR="00583745">
        <w:t>A defined group of individuals shares similar characteristics that influence their health. By studying the overall trends in health and health determinants of a given population, the results and findings can be applied to specific patient-centered care</w:t>
      </w:r>
      <w:r w:rsidR="00D74B54">
        <w:t xml:space="preserve">. </w:t>
      </w:r>
      <w:r>
        <w:t xml:space="preserve">The Center for Disease Control and Prevention (CDC) installed a </w:t>
      </w:r>
      <w:r w:rsidRPr="001D49CA">
        <w:t>national Population Health Improvement Initiative</w:t>
      </w:r>
      <w:r>
        <w:t xml:space="preserve"> with particular objectives. The national PHII aimed at making better the standards of methods of care and their performances in the United States of America.  </w:t>
      </w:r>
    </w:p>
    <w:p w14:paraId="07CEB031" w14:textId="77777777" w:rsidR="00D75C11" w:rsidRDefault="00AE101D" w:rsidP="00A271A4">
      <w:r>
        <w:t xml:space="preserve">A Population Health Improvement Initiative aims at providing the best care for emerging health challenges that affect the defined group of individuals. </w:t>
      </w:r>
      <w:r w:rsidR="001D49CA">
        <w:t xml:space="preserve">PHII infers data from a general population to patient-centered care. This situation promotes evidence-based care in patient-based care. </w:t>
      </w:r>
      <w:r>
        <w:t xml:space="preserve">It is easier for the government or an organization to plan and manage the more significant population using PHII because PHII acquires the general population's data and health preferences. </w:t>
      </w:r>
      <w:r w:rsidR="00884760">
        <w:t xml:space="preserve">The PHII data is derived from populations in different settings and the environment from the patient's. </w:t>
      </w:r>
      <w:r w:rsidR="002C5FF0">
        <w:t>That does not mean that all individuals have similar requirements. One patient may have unique factors that influence their health-seeking behavior and general social behaviors. But the majority is expected to have similar characteristics that can be applied to the individual level when drawing a patient-centered evidence-based care plan.</w:t>
      </w:r>
    </w:p>
    <w:p w14:paraId="1F49FE47" w14:textId="77777777" w:rsidR="00C3784E" w:rsidRDefault="00AE101D" w:rsidP="00083086">
      <w:pPr>
        <w:spacing w:after="0"/>
        <w:ind w:firstLine="0"/>
        <w:jc w:val="center"/>
        <w:rPr>
          <w:rFonts w:cs="Times New Roman"/>
          <w:b/>
          <w:bCs/>
          <w:szCs w:val="24"/>
        </w:rPr>
      </w:pPr>
      <w:r>
        <w:rPr>
          <w:rFonts w:cs="Times New Roman"/>
          <w:b/>
          <w:bCs/>
          <w:szCs w:val="24"/>
        </w:rPr>
        <w:t>Population Health Improvement Outcome Evaluation</w:t>
      </w:r>
    </w:p>
    <w:p w14:paraId="74AC9F4A" w14:textId="77777777" w:rsidR="00D74B54" w:rsidRDefault="00AE101D" w:rsidP="00A271A4">
      <w:r>
        <w:t xml:space="preserve"> </w:t>
      </w:r>
      <w:r w:rsidR="00D75C11">
        <w:t xml:space="preserve">A case scenario is provided </w:t>
      </w:r>
      <w:r w:rsidR="00884760">
        <w:t xml:space="preserve">from </w:t>
      </w:r>
      <w:r w:rsidR="00BF165E">
        <w:t>Mr.</w:t>
      </w:r>
      <w:r w:rsidR="00D75C11">
        <w:t xml:space="preserve"> </w:t>
      </w:r>
      <w:r w:rsidR="00884760">
        <w:t>Nowak's case,</w:t>
      </w:r>
      <w:r w:rsidR="00D75C11">
        <w:t xml:space="preserve"> who </w:t>
      </w:r>
      <w:r w:rsidR="00884760">
        <w:t xml:space="preserve">suffered a traumatic brain injury 40 years ago from a fall from a tree. There is also an expert and the director of Safe </w:t>
      </w:r>
      <w:r w:rsidR="00884760">
        <w:lastRenderedPageBreak/>
        <w:t xml:space="preserve">Headspace. Safe Headspace is a novel nonprofit institution that deals with improving the health of Traumatic Brain Injury (TBI) patients through PHII. </w:t>
      </w:r>
      <w:r w:rsidR="007F64E0">
        <w:t>This paper will discuss patient-centered care with evidence-based reports from the care at Safe Headspace.</w:t>
      </w:r>
    </w:p>
    <w:p w14:paraId="1D67CE40" w14:textId="77777777" w:rsidR="007F64E0" w:rsidRDefault="00AE101D" w:rsidP="00A271A4">
      <w:r>
        <w:t>Alicia Balewa, the director at Safe Headspace, has reported that they have used various methods to care for TBI and Post Traumatic Stress Disorder. Some of these methods have brought them significant success, while others did not reap any quantifiable positive outcome. Alongside providing case, Safe Headspace also utilized that opportunity to study the patient's characteristics, behavior patterns, and health determinates. The institution enrolled mainly volunteering Vietnam war veterans who realized that they needed help. These participants were between 45 and 80 years.</w:t>
      </w:r>
    </w:p>
    <w:p w14:paraId="3260242C" w14:textId="77777777" w:rsidR="001C07F5" w:rsidRDefault="00AE101D" w:rsidP="00A271A4">
      <w:r>
        <w:t>In their study, about 400 willing participants were enrolled in the plan. The methods used to improve their health were non-patient-specific, but most of them yielded positive, quantifiable outcomes. The first method was the use of moderate aerobic exercise, as recommended by the CDC. Significant improvements were achieved in mood (22%), muscle control (15%), and memory (61% long-term and short-term memory)</w:t>
      </w:r>
      <w:r w:rsidR="00124ED6">
        <w:t xml:space="preserve">. </w:t>
      </w:r>
    </w:p>
    <w:p w14:paraId="2D588B4B" w14:textId="77777777" w:rsidR="00124ED6" w:rsidRDefault="00AE101D" w:rsidP="00A271A4">
      <w:r>
        <w:t xml:space="preserve">The second method that produced significant improvement was medication therapy. With the use of antidepressants and antipsychotics on relevant patients, there have been significant improvements in the participants' memory and mood. </w:t>
      </w:r>
      <w:r w:rsidR="00B768C0">
        <w:t xml:space="preserve">A few participants had </w:t>
      </w:r>
      <w:r>
        <w:t xml:space="preserve">completed their </w:t>
      </w:r>
      <w:r w:rsidR="00B768C0">
        <w:t xml:space="preserve">medication </w:t>
      </w:r>
      <w:r>
        <w:t>therapies</w:t>
      </w:r>
      <w:r w:rsidR="00B768C0">
        <w:t xml:space="preserve"> at home</w:t>
      </w:r>
      <w:r>
        <w:t xml:space="preserve">. </w:t>
      </w:r>
      <w:r w:rsidR="00B768C0">
        <w:t>Other participants did not complete their regimen or were not included in the medication therapies.</w:t>
      </w:r>
    </w:p>
    <w:p w14:paraId="38E497E2" w14:textId="77777777" w:rsidR="00B768C0" w:rsidRDefault="00AE101D" w:rsidP="00A271A4">
      <w:r>
        <w:t>The Safe Headspace also used meditation to improve mood, memory, and muscle control in their participants</w:t>
      </w:r>
      <w:r w:rsidR="00D81805">
        <w:t xml:space="preserve">. Unfortunately, only a few of the participants were willing to participate in </w:t>
      </w:r>
      <w:r w:rsidR="00D81805">
        <w:lastRenderedPageBreak/>
        <w:t>this method. Fortunately, there was a 70% improvement in mood and 32% improvement in mood for the 21 participants who undertook this treatment modality.</w:t>
      </w:r>
      <w:r>
        <w:t xml:space="preserve"> </w:t>
      </w:r>
      <w:r w:rsidR="00ED1C6E">
        <w:t xml:space="preserve">This therapy involved home meditation for about 10 to 15 minutes, with </w:t>
      </w:r>
      <w:r w:rsidR="005533F6">
        <w:t>an</w:t>
      </w:r>
      <w:r w:rsidR="00ED1C6E">
        <w:t xml:space="preserve"> hour per week for group meditation. </w:t>
      </w:r>
    </w:p>
    <w:p w14:paraId="34A39890" w14:textId="77777777" w:rsidR="00C3784E" w:rsidRDefault="00AE101D" w:rsidP="00A271A4">
      <w:r>
        <w:t xml:space="preserve">My patient, Mr. Nowak, suffered a TBI about 40 years ago. Alongside having hypertension, Mr. Nowak is having trouble with his balance. He believes that his current symptoms are related to the fall that occurred long ago. He also worried that this might be the start of a rapid health decline that he is yet to experience. From this report, it is evident that Mr. Nowak has post-traumatic stress disorder. Post-traumatic stress disorders occur </w:t>
      </w:r>
      <w:r w:rsidR="0075745F">
        <w:t>due to horrifying traumatic events that impact the victim's psychology</w:t>
      </w:r>
      <w:r w:rsidR="00D10C88">
        <w:t xml:space="preserve"> </w:t>
      </w:r>
      <w:r w:rsidR="00D10C88">
        <w:rPr>
          <w:rStyle w:val="selectable"/>
          <w:color w:val="000000"/>
        </w:rPr>
        <w:t>(Herringa, 2017)</w:t>
      </w:r>
      <w:r w:rsidR="0075745F">
        <w:t xml:space="preserve">. The timelines between the traumatic events and symptoms vary from one patient to another. This might be the case with Mr. Nowak. </w:t>
      </w:r>
      <w:r w:rsidR="00D10C88">
        <w:t>The fall out of a tree could have resulted in several health issues, both surgical and medical. However, traumatic brain injury features are not evident in Mr. Nowak and could have manifested earlier rather than now.</w:t>
      </w:r>
    </w:p>
    <w:p w14:paraId="03208F87" w14:textId="77777777" w:rsidR="007F64E0" w:rsidRDefault="00AE101D" w:rsidP="00A271A4">
      <w:r>
        <w:t xml:space="preserve">The study also had drawbacks in some of the methods used. These are the methods that did not yield any significant improvement. </w:t>
      </w:r>
      <w:r w:rsidR="00BD35EC">
        <w:t>These methods included memory exercises</w:t>
      </w:r>
      <w:r w:rsidR="00763C7A">
        <w:t xml:space="preserve"> and games such as sudoku and crosswords</w:t>
      </w:r>
      <w:r w:rsidR="00BD35EC">
        <w:t>,</w:t>
      </w:r>
      <w:r w:rsidR="00763C7A">
        <w:t xml:space="preserve"> and strength training exercises. The failure was due to disinterest from participants, among other factors. </w:t>
      </w:r>
      <w:r w:rsidR="00864672">
        <w:t>The s</w:t>
      </w:r>
      <w:r w:rsidR="0092724E">
        <w:t>t</w:t>
      </w:r>
      <w:r w:rsidR="00864672">
        <w:t xml:space="preserve">udy was concerned with TBI and PTSD together. However, these conditions are more different than they are </w:t>
      </w:r>
      <w:r w:rsidR="0092724E">
        <w:t>related</w:t>
      </w:r>
      <w:r w:rsidR="00864672">
        <w:t xml:space="preserve">. </w:t>
      </w:r>
      <w:r w:rsidR="0092724E">
        <w:t>In inferring care from a study that combined can be difficult in deciding which method was effective for what conditions.</w:t>
      </w:r>
      <w:r w:rsidR="00BD35EC">
        <w:t xml:space="preserve"> </w:t>
      </w:r>
    </w:p>
    <w:p w14:paraId="0829E185" w14:textId="77777777" w:rsidR="003F1759" w:rsidRPr="00A8743D" w:rsidRDefault="00AE101D" w:rsidP="00083086">
      <w:pPr>
        <w:ind w:firstLine="0"/>
        <w:jc w:val="center"/>
        <w:rPr>
          <w:b/>
          <w:bCs/>
        </w:rPr>
      </w:pPr>
      <w:r w:rsidRPr="00A8743D">
        <w:rPr>
          <w:b/>
          <w:bCs/>
        </w:rPr>
        <w:t>Improvement of Outcomes of a Population Health Improvement Plan</w:t>
      </w:r>
    </w:p>
    <w:p w14:paraId="49BD6C21" w14:textId="77777777" w:rsidR="003F1759" w:rsidRDefault="00AE101D" w:rsidP="0023665B">
      <w:r>
        <w:lastRenderedPageBreak/>
        <w:t>In PHII</w:t>
      </w:r>
      <w:r w:rsidR="00A8743D">
        <w:t xml:space="preserve">, health outcomes can be applied to the general population. The </w:t>
      </w:r>
      <w:r w:rsidR="002E73A5">
        <w:t>health outcomes</w:t>
      </w:r>
      <w:r w:rsidR="00A8743D">
        <w:t xml:space="preserve"> from the Safe Headspace study can be applied </w:t>
      </w:r>
      <w:r w:rsidR="002E73A5">
        <w:t xml:space="preserve">to a similar cohort's general population. </w:t>
      </w:r>
      <w:r w:rsidR="00F852D6">
        <w:t xml:space="preserve">The evolutions in the management of TBI and PTSD have been significant over the ages. The </w:t>
      </w:r>
      <w:r w:rsidR="008421AB">
        <w:t xml:space="preserve">study of the </w:t>
      </w:r>
      <w:r w:rsidR="00F852D6">
        <w:t>treatment that war veterans</w:t>
      </w:r>
      <w:r w:rsidR="008421AB">
        <w:t xml:space="preserve"> </w:t>
      </w:r>
      <w:r w:rsidR="00F852D6">
        <w:t xml:space="preserve">in Iraq and Afghanistan received </w:t>
      </w:r>
      <w:r w:rsidR="008421AB">
        <w:t>has changed how war veterans are managed</w:t>
      </w:r>
      <w:r w:rsidR="00492DEB">
        <w:t xml:space="preserve"> </w:t>
      </w:r>
      <w:r w:rsidR="00492DEB">
        <w:rPr>
          <w:rStyle w:val="selectable"/>
          <w:color w:val="000000"/>
        </w:rPr>
        <w:t>(Howlett &amp; Stein, 2020)</w:t>
      </w:r>
      <w:r w:rsidR="008421AB">
        <w:t>. Before the war, veterans received minimal or no attention concerning PTSD. From the study by Alicia Balewa, the directors at Safe Headspace reports that her father had not received any attention for her previously inaccurately understood mentality. This motivated her to steer the study that resulted in understanding management modalities that can work for TBI and PTSD patients.</w:t>
      </w:r>
    </w:p>
    <w:p w14:paraId="02EA0C67" w14:textId="77777777" w:rsidR="00492DEB" w:rsidRDefault="00AE101D" w:rsidP="0023665B">
      <w:r>
        <w:t xml:space="preserve">The approaches that Safe Headspace used to achieve success in improving memory, mood, and muscle control can be applied to patients present similarly. Mr. Novak presented to the clinic with PTSD symptoms that he associated with the TBI several years back. Some cases of TBI resulting in PTSD may go unnoticed, undiagnosed, or undiagnosed. Applying the three methodologies in improving all war veterans' lives can be associated with more outstanding life quality. </w:t>
      </w:r>
      <w:r w:rsidR="0023665B">
        <w:t>Various health promotion programs can be applied to community-based health management without evaluating and analyzing their efficacies. Different population cohorts require different health improvement programs that are specific to them to make significant health improvements. For example, the American College of Cardiology and the American Heart Association's latest guidelines suggest that first-line management of hypertension should specific for different races</w:t>
      </w:r>
      <w:r w:rsidR="00422AC4">
        <w:t xml:space="preserve"> </w:t>
      </w:r>
      <w:r w:rsidR="00422AC4">
        <w:rPr>
          <w:rStyle w:val="selectable"/>
          <w:color w:val="000000"/>
        </w:rPr>
        <w:t>(Whelton et al., 2018)</w:t>
      </w:r>
      <w:r w:rsidR="0023665B">
        <w:t>. This recommendation comes after various public health improvement initiatives found out that blacks responded better to thiazides as the first line but not other medications.</w:t>
      </w:r>
    </w:p>
    <w:p w14:paraId="67EA79CC" w14:textId="77777777" w:rsidR="00422AC4" w:rsidRDefault="00AE101D" w:rsidP="0023665B">
      <w:r>
        <w:lastRenderedPageBreak/>
        <w:t xml:space="preserve">The population health improvement plants that would apply recommendations from the Safe Headspace study would also consider personal factors as determinants of their health. These considerations would include cultural factors that would influence their medication adherence. </w:t>
      </w:r>
      <w:r w:rsidR="0032618B">
        <w:t>We don't expect the same health outcomes from a younger population with TBI and PTSD. Their health promotion would be specific to their health requirements. Therefore, health outcomes should be harmonized with other guidelines to achieve the best results in health management.</w:t>
      </w:r>
    </w:p>
    <w:p w14:paraId="294F71A9" w14:textId="77777777" w:rsidR="00211E0F" w:rsidRPr="00211E0F" w:rsidRDefault="00AE101D" w:rsidP="00083086">
      <w:pPr>
        <w:ind w:firstLine="0"/>
        <w:jc w:val="center"/>
        <w:rPr>
          <w:b/>
          <w:bCs/>
        </w:rPr>
      </w:pPr>
      <w:r w:rsidRPr="00211E0F">
        <w:rPr>
          <w:b/>
          <w:bCs/>
        </w:rPr>
        <w:t>Individualized Plan of Care</w:t>
      </w:r>
    </w:p>
    <w:p w14:paraId="12ABD200" w14:textId="02CA09C1" w:rsidR="00211E0F" w:rsidRDefault="00AE101D" w:rsidP="00083086">
      <w:r>
        <w:t xml:space="preserve">Mr. Novak is also hypertensive, besides showing symptoms of PTSD. </w:t>
      </w:r>
      <w:r w:rsidR="0076238E">
        <w:t xml:space="preserve">His care goals will include management of his hypertension, monitoring his blood pressure to prevent emergencies and end-organ damages, creating a </w:t>
      </w:r>
      <w:r>
        <w:t>stress-free</w:t>
      </w:r>
      <w:r w:rsidR="0076238E">
        <w:t xml:space="preserve"> life, and providing him with insights on the possible etiology of his trouble with balance. </w:t>
      </w:r>
      <w:r>
        <w:t>He believes that because he lost his balance and fell from a tree 40 years ago, the same experience is recurring because he most likely injured his brain. He thinks that the injury to the brain is now causing him problems or proprioceptions 40 years later. His management would consider these expected outcomes</w:t>
      </w:r>
      <w:r w:rsidR="00083086">
        <w:t xml:space="preserve">. </w:t>
      </w:r>
      <w:r>
        <w:t xml:space="preserve">Therefore, the plan of care for Mr. Novak must include care for short-term and long-term complications. The plan of care would consist of pharmacologic and non-pharmacologic therapies. Pharmacologic therapy would consist of the antihypertensive medications that he has been taking.  </w:t>
      </w:r>
      <w:r w:rsidR="0002224A">
        <w:t xml:space="preserve">Mr. Novak is over 40 years, and there would benefit from the Safe Headspace health management strategies. </w:t>
      </w:r>
      <w:r w:rsidR="00754ABA">
        <w:t xml:space="preserve">The best possible management for Mr. Novak would be </w:t>
      </w:r>
      <w:r w:rsidR="007D7D1B">
        <w:t xml:space="preserve">moderate </w:t>
      </w:r>
      <w:r w:rsidR="00754ABA">
        <w:t xml:space="preserve">exercises, as shown by the Safe Headspace study. </w:t>
      </w:r>
      <w:r w:rsidR="007D7D1B">
        <w:t xml:space="preserve">He would do moderate aerobic exercises as he can tolerate, as recommended by the CDC. </w:t>
      </w:r>
      <w:r w:rsidR="00754ABA">
        <w:t>Fr</w:t>
      </w:r>
      <w:r w:rsidR="007D7D1B">
        <w:t>o</w:t>
      </w:r>
      <w:r w:rsidR="00754ABA">
        <w:t xml:space="preserve">m this method of </w:t>
      </w:r>
      <w:r w:rsidR="00954300">
        <w:t>management,</w:t>
      </w:r>
      <w:r w:rsidR="00754ABA">
        <w:t xml:space="preserve"> he is expected to gain improvement in muscle control and mood. </w:t>
      </w:r>
    </w:p>
    <w:p w14:paraId="64A4039E" w14:textId="77777777" w:rsidR="00B452C0" w:rsidRDefault="00AE101D" w:rsidP="008A288E">
      <w:r>
        <w:lastRenderedPageBreak/>
        <w:t>Mr. Novak would be referred to a psychiatrist for the best drug therapy and a psychotherapist for regular weekly psychotherapy sessions. He would also do daily meditation sessions at home, lasting about 15 minutes. His hypertension's medical management would be monitored by daily charting his blood pressures at home and reporting any hypertension-related symptoms at home.</w:t>
      </w:r>
    </w:p>
    <w:p w14:paraId="032BB864" w14:textId="77777777" w:rsidR="00A2494E" w:rsidRPr="00A2494E" w:rsidRDefault="00AE101D" w:rsidP="00083086">
      <w:pPr>
        <w:ind w:firstLine="0"/>
        <w:jc w:val="center"/>
        <w:rPr>
          <w:b/>
          <w:bCs/>
        </w:rPr>
      </w:pPr>
      <w:r w:rsidRPr="00A2494E">
        <w:rPr>
          <w:b/>
          <w:bCs/>
        </w:rPr>
        <w:t>Value of the Used Evidence-Based Care Plan</w:t>
      </w:r>
    </w:p>
    <w:p w14:paraId="3F4D8EB3" w14:textId="77777777" w:rsidR="00A2494E" w:rsidRDefault="00AE101D" w:rsidP="008A288E">
      <w:r>
        <w:t>An evidence-base</w:t>
      </w:r>
      <w:r w:rsidR="00D04088">
        <w:t>d</w:t>
      </w:r>
      <w:r>
        <w:t xml:space="preserve"> care plan has been beneficial to related scenarios when applied appropriately. Evidence</w:t>
      </w:r>
      <w:r w:rsidR="00D04088">
        <w:t>-</w:t>
      </w:r>
      <w:r>
        <w:t>based care</w:t>
      </w:r>
      <w:r w:rsidR="00E93E1C">
        <w:t xml:space="preserve"> (EBC)</w:t>
      </w:r>
      <w:r>
        <w:t xml:space="preserve"> is driven by </w:t>
      </w:r>
      <w:r w:rsidR="00D04088">
        <w:t>evidence-based</w:t>
      </w:r>
      <w:r>
        <w:t xml:space="preserve"> protocols that come from population health improvement initiatives. </w:t>
      </w:r>
      <w:r w:rsidR="00E93E1C">
        <w:t>EBC can help avoid care protocols that have become obsolete</w:t>
      </w:r>
      <w:r w:rsidR="00447B5E">
        <w:t xml:space="preserve"> </w:t>
      </w:r>
      <w:r w:rsidR="00447B5E">
        <w:rPr>
          <w:rStyle w:val="selectable"/>
          <w:color w:val="000000"/>
        </w:rPr>
        <w:t>(Li et al., 2019)</w:t>
      </w:r>
      <w:r w:rsidR="00E93E1C">
        <w:t xml:space="preserve">. </w:t>
      </w:r>
      <w:r w:rsidR="00D04088">
        <w:t>The safe Headspace study showed massive improvement in mood and memory with moderate exercises, medication therapies, and meditation strategies. Medication had a 7</w:t>
      </w:r>
      <w:r w:rsidR="00615AC5">
        <w:t>0</w:t>
      </w:r>
      <w:r w:rsidR="00D04088">
        <w:t xml:space="preserve">% improvement even though it disinterested many participants. </w:t>
      </w:r>
      <w:r w:rsidR="00615AC5">
        <w:t>However,</w:t>
      </w:r>
      <w:r w:rsidR="00E93E1C">
        <w:t xml:space="preserve"> no improvement was shown with memory exercises in the veterans. </w:t>
      </w:r>
      <w:r w:rsidR="00B0108F">
        <w:t xml:space="preserve">Health maintenance and monitoring are essential for the long-term management of chronic patients. Daily monitoring of blood pressure </w:t>
      </w:r>
      <w:r w:rsidR="00F7387A">
        <w:t xml:space="preserve">would ensure adequate health </w:t>
      </w:r>
      <w:r w:rsidR="00E26DFE">
        <w:t>maintenance</w:t>
      </w:r>
      <w:r w:rsidR="00F7387A">
        <w:t xml:space="preserve"> in addition to medication adherence </w:t>
      </w:r>
      <w:r w:rsidR="00F7387A">
        <w:rPr>
          <w:rStyle w:val="selectable"/>
          <w:color w:val="000000"/>
        </w:rPr>
        <w:t>(Arakawa, 2018)</w:t>
      </w:r>
      <w:r w:rsidR="00F7387A">
        <w:t>.</w:t>
      </w:r>
      <w:r w:rsidR="009E16D8">
        <w:t xml:space="preserve"> This would alert for drug resistance or non-compliance. </w:t>
      </w:r>
    </w:p>
    <w:p w14:paraId="1D682F9D" w14:textId="415CB1FD" w:rsidR="009E16D8" w:rsidRPr="009E16D8" w:rsidRDefault="00AE101D" w:rsidP="00F023BC">
      <w:pPr>
        <w:ind w:firstLine="0"/>
        <w:jc w:val="center"/>
        <w:rPr>
          <w:b/>
          <w:bCs/>
        </w:rPr>
      </w:pPr>
      <w:r w:rsidRPr="009E16D8">
        <w:rPr>
          <w:b/>
          <w:bCs/>
        </w:rPr>
        <w:t xml:space="preserve">Evaluation </w:t>
      </w:r>
      <w:bookmarkStart w:id="0" w:name="_GoBack"/>
      <w:bookmarkEnd w:id="0"/>
      <w:r w:rsidR="00F023BC" w:rsidRPr="009E16D8">
        <w:rPr>
          <w:b/>
          <w:bCs/>
        </w:rPr>
        <w:t>of Outcomes</w:t>
      </w:r>
    </w:p>
    <w:p w14:paraId="40F7688F" w14:textId="7EE32DFB" w:rsidR="009E16D8" w:rsidRDefault="00AE101D" w:rsidP="008A288E">
      <w:r>
        <w:t>The effectiveness of the treatment that Mr. Novak would receive must be evaluated. Weekly memory tests and neurological exam would be used to assess the memory and muscle control outcomes from the moderate aerobic outcomes</w:t>
      </w:r>
      <w:r w:rsidR="00095200">
        <w:t xml:space="preserve"> and medication</w:t>
      </w:r>
      <w:r>
        <w:t xml:space="preserve">. </w:t>
      </w:r>
      <w:r w:rsidR="00095200">
        <w:t>The daily blood pressure charting by the patient will be used to evaluate his blood pressure control. From his psychotherapy sessions, the therapist would assess responses and improvements.</w:t>
      </w:r>
    </w:p>
    <w:p w14:paraId="6E731D93" w14:textId="38C03F68" w:rsidR="00442A1D" w:rsidRPr="00083086" w:rsidRDefault="00AE101D" w:rsidP="00083086">
      <w:pPr>
        <w:spacing w:line="259" w:lineRule="auto"/>
        <w:ind w:firstLine="0"/>
        <w:jc w:val="center"/>
      </w:pPr>
      <w:r w:rsidRPr="00442A1D">
        <w:rPr>
          <w:b/>
          <w:bCs/>
        </w:rPr>
        <w:lastRenderedPageBreak/>
        <w:t>References</w:t>
      </w:r>
    </w:p>
    <w:p w14:paraId="05F4C53A" w14:textId="77777777" w:rsidR="00083086" w:rsidRDefault="00083086" w:rsidP="00083086">
      <w:pPr>
        <w:spacing w:after="0"/>
        <w:ind w:left="720" w:hanging="720"/>
        <w:rPr>
          <w:rStyle w:val="selectable"/>
          <w:color w:val="000000"/>
        </w:rPr>
      </w:pPr>
      <w:proofErr w:type="gramStart"/>
      <w:r>
        <w:rPr>
          <w:rStyle w:val="selectable"/>
          <w:color w:val="000000"/>
        </w:rPr>
        <w:t>Arakawa, T. (2018).</w:t>
      </w:r>
      <w:proofErr w:type="gramEnd"/>
      <w:r>
        <w:rPr>
          <w:rStyle w:val="selectable"/>
          <w:color w:val="000000"/>
        </w:rPr>
        <w:t xml:space="preserve"> Recent Research and Developing Trends of Wearable Sensors for Detecting Blood Pressure. </w:t>
      </w:r>
      <w:r>
        <w:rPr>
          <w:rStyle w:val="selectable"/>
          <w:i/>
          <w:iCs/>
          <w:color w:val="000000"/>
        </w:rPr>
        <w:t>Sensors</w:t>
      </w:r>
      <w:r>
        <w:rPr>
          <w:rStyle w:val="selectable"/>
          <w:color w:val="000000"/>
        </w:rPr>
        <w:t xml:space="preserve">, </w:t>
      </w:r>
      <w:r>
        <w:rPr>
          <w:rStyle w:val="selectable"/>
          <w:i/>
          <w:iCs/>
          <w:color w:val="000000"/>
        </w:rPr>
        <w:t>18</w:t>
      </w:r>
      <w:r>
        <w:rPr>
          <w:rStyle w:val="selectable"/>
          <w:color w:val="000000"/>
        </w:rPr>
        <w:t xml:space="preserve">(9), 2772. </w:t>
      </w:r>
      <w:hyperlink r:id="rId7" w:history="1">
        <w:r w:rsidRPr="00625AEB">
          <w:rPr>
            <w:rStyle w:val="Hyperlink"/>
          </w:rPr>
          <w:t>https://doi.org/10.3390/s18092772</w:t>
        </w:r>
      </w:hyperlink>
    </w:p>
    <w:p w14:paraId="1A3EFADE" w14:textId="77777777" w:rsidR="00083086" w:rsidRDefault="00083086" w:rsidP="00083086">
      <w:pPr>
        <w:spacing w:after="0"/>
        <w:ind w:left="720" w:hanging="720"/>
        <w:rPr>
          <w:rStyle w:val="selectable"/>
          <w:color w:val="000000"/>
        </w:rPr>
      </w:pPr>
      <w:r>
        <w:rPr>
          <w:rStyle w:val="selectable"/>
          <w:color w:val="000000"/>
        </w:rPr>
        <w:t xml:space="preserve">Fry, C., Nikpay, S., Leslie, E., &amp; Buntin, M. (2018). Evaluating Community-Based Health Improvement Programs. </w:t>
      </w:r>
      <w:r>
        <w:rPr>
          <w:rStyle w:val="selectable"/>
          <w:i/>
          <w:iCs/>
          <w:color w:val="000000"/>
        </w:rPr>
        <w:t>Health Affairs</w:t>
      </w:r>
      <w:r>
        <w:rPr>
          <w:rStyle w:val="selectable"/>
          <w:color w:val="000000"/>
        </w:rPr>
        <w:t xml:space="preserve">, </w:t>
      </w:r>
      <w:r>
        <w:rPr>
          <w:rStyle w:val="selectable"/>
          <w:i/>
          <w:iCs/>
          <w:color w:val="000000"/>
        </w:rPr>
        <w:t>37</w:t>
      </w:r>
      <w:r>
        <w:rPr>
          <w:rStyle w:val="selectable"/>
          <w:color w:val="000000"/>
        </w:rPr>
        <w:t xml:space="preserve">(1), 22-29. </w:t>
      </w:r>
      <w:hyperlink r:id="rId8" w:history="1">
        <w:r w:rsidRPr="00625AEB">
          <w:rPr>
            <w:rStyle w:val="Hyperlink"/>
          </w:rPr>
          <w:t>https://doi.org/10.1377/hlthaff.2017.1125</w:t>
        </w:r>
      </w:hyperlink>
    </w:p>
    <w:p w14:paraId="7D2AE458" w14:textId="77777777" w:rsidR="00083086" w:rsidRDefault="00083086" w:rsidP="00083086">
      <w:pPr>
        <w:spacing w:after="0"/>
        <w:ind w:left="720" w:hanging="720"/>
        <w:rPr>
          <w:rStyle w:val="selectable"/>
          <w:color w:val="000000"/>
        </w:rPr>
      </w:pPr>
      <w:r>
        <w:rPr>
          <w:rStyle w:val="selectable"/>
          <w:color w:val="000000"/>
        </w:rPr>
        <w:t xml:space="preserve">Herringa, R. (2017). Trauma, PTSD, and the Developing Brain. </w:t>
      </w:r>
      <w:r>
        <w:rPr>
          <w:rStyle w:val="selectable"/>
          <w:i/>
          <w:iCs/>
          <w:color w:val="000000"/>
        </w:rPr>
        <w:t>Current Psychiatry Reports</w:t>
      </w:r>
      <w:r>
        <w:rPr>
          <w:rStyle w:val="selectable"/>
          <w:color w:val="000000"/>
        </w:rPr>
        <w:t xml:space="preserve">, </w:t>
      </w:r>
      <w:r>
        <w:rPr>
          <w:rStyle w:val="selectable"/>
          <w:i/>
          <w:iCs/>
          <w:color w:val="000000"/>
        </w:rPr>
        <w:t>19</w:t>
      </w:r>
      <w:r>
        <w:rPr>
          <w:rStyle w:val="selectable"/>
          <w:color w:val="000000"/>
        </w:rPr>
        <w:t xml:space="preserve">(10). </w:t>
      </w:r>
      <w:hyperlink r:id="rId9" w:history="1">
        <w:r w:rsidRPr="00625AEB">
          <w:rPr>
            <w:rStyle w:val="Hyperlink"/>
          </w:rPr>
          <w:t>https://doi.org/10.1007/s11920-017-0825-3</w:t>
        </w:r>
      </w:hyperlink>
    </w:p>
    <w:p w14:paraId="71871208" w14:textId="77777777" w:rsidR="00083086" w:rsidRDefault="00083086" w:rsidP="00083086">
      <w:pPr>
        <w:spacing w:after="0"/>
        <w:ind w:left="720" w:hanging="720"/>
        <w:rPr>
          <w:rStyle w:val="selectable"/>
          <w:color w:val="000000"/>
        </w:rPr>
      </w:pPr>
      <w:r>
        <w:rPr>
          <w:rStyle w:val="selectable"/>
          <w:color w:val="000000"/>
        </w:rPr>
        <w:t xml:space="preserve">Howlett, J., &amp; Stein, M. (2020). </w:t>
      </w:r>
      <w:r>
        <w:rPr>
          <w:rStyle w:val="selectable"/>
          <w:i/>
          <w:iCs/>
          <w:color w:val="000000"/>
        </w:rPr>
        <w:t>Post-Traumatic Stress Disorder: Relationship to Traumatic Brain Injury and Approach to Treatment</w:t>
      </w:r>
      <w:r>
        <w:rPr>
          <w:rStyle w:val="selectable"/>
          <w:color w:val="000000"/>
        </w:rPr>
        <w:t xml:space="preserve">. Ncbi.nlm.nih.gov. Retrieved 19 October 2020, from </w:t>
      </w:r>
      <w:hyperlink r:id="rId10" w:history="1">
        <w:r w:rsidRPr="00625AEB">
          <w:rPr>
            <w:rStyle w:val="Hyperlink"/>
          </w:rPr>
          <w:t>https://www.ncbi.nlm.nih.gov/books/NBK326723/</w:t>
        </w:r>
      </w:hyperlink>
      <w:r>
        <w:rPr>
          <w:rStyle w:val="selectable"/>
          <w:color w:val="000000"/>
        </w:rPr>
        <w:t>.</w:t>
      </w:r>
    </w:p>
    <w:p w14:paraId="65CBA5BB" w14:textId="77777777" w:rsidR="00083086" w:rsidRDefault="00083086" w:rsidP="00083086">
      <w:pPr>
        <w:spacing w:after="0"/>
        <w:ind w:left="720" w:hanging="720"/>
        <w:rPr>
          <w:rStyle w:val="selectable"/>
          <w:color w:val="000000"/>
        </w:rPr>
      </w:pPr>
      <w:r>
        <w:rPr>
          <w:rStyle w:val="selectable"/>
          <w:color w:val="000000"/>
        </w:rPr>
        <w:t xml:space="preserve">Li, S., Cao, M., &amp; Zhu, X. (2019). Evidence-based practice. </w:t>
      </w:r>
      <w:r>
        <w:rPr>
          <w:rStyle w:val="selectable"/>
          <w:i/>
          <w:iCs/>
          <w:color w:val="000000"/>
        </w:rPr>
        <w:t>Medicine</w:t>
      </w:r>
      <w:r>
        <w:rPr>
          <w:rStyle w:val="selectable"/>
          <w:color w:val="000000"/>
        </w:rPr>
        <w:t xml:space="preserve">, </w:t>
      </w:r>
      <w:r>
        <w:rPr>
          <w:rStyle w:val="selectable"/>
          <w:i/>
          <w:iCs/>
          <w:color w:val="000000"/>
        </w:rPr>
        <w:t>98</w:t>
      </w:r>
      <w:r>
        <w:rPr>
          <w:rStyle w:val="selectable"/>
          <w:color w:val="000000"/>
        </w:rPr>
        <w:t xml:space="preserve">(39), e17209. </w:t>
      </w:r>
      <w:hyperlink r:id="rId11" w:history="1">
        <w:r w:rsidRPr="00625AEB">
          <w:rPr>
            <w:rStyle w:val="Hyperlink"/>
          </w:rPr>
          <w:t>https://doi.org/10.1097/md.0000000000017209</w:t>
        </w:r>
      </w:hyperlink>
    </w:p>
    <w:p w14:paraId="50A1D545" w14:textId="77777777" w:rsidR="00083086" w:rsidRDefault="00083086" w:rsidP="00083086">
      <w:pPr>
        <w:spacing w:after="0"/>
        <w:ind w:left="720" w:hanging="720"/>
        <w:rPr>
          <w:rStyle w:val="selectable"/>
          <w:color w:val="000000"/>
        </w:rPr>
      </w:pPr>
      <w:r>
        <w:rPr>
          <w:rStyle w:val="selectable"/>
          <w:color w:val="000000"/>
        </w:rPr>
        <w:t xml:space="preserve">Whelton, P., Carey, R., Aronow, W., Casey, D., Collins, K., &amp; Dennison Himmelfarb, C. et al. (2018). 2017 ACC/AHA/AAPA/ABC/ACPM/AGS/APhA/ASH/ASPC/NMA/PCNA Guideline for the Prevention, Detection, Evaluation, and Management of High Blood Pressure in Adults. </w:t>
      </w:r>
      <w:r>
        <w:rPr>
          <w:rStyle w:val="selectable"/>
          <w:i/>
          <w:iCs/>
          <w:color w:val="000000"/>
        </w:rPr>
        <w:t>Journal of The American College of Cardiology</w:t>
      </w:r>
      <w:r>
        <w:rPr>
          <w:rStyle w:val="selectable"/>
          <w:color w:val="000000"/>
        </w:rPr>
        <w:t xml:space="preserve">, </w:t>
      </w:r>
      <w:r>
        <w:rPr>
          <w:rStyle w:val="selectable"/>
          <w:i/>
          <w:iCs/>
          <w:color w:val="000000"/>
        </w:rPr>
        <w:t>71</w:t>
      </w:r>
      <w:r>
        <w:rPr>
          <w:rStyle w:val="selectable"/>
          <w:color w:val="000000"/>
        </w:rPr>
        <w:t xml:space="preserve">(19), e127-e248. </w:t>
      </w:r>
      <w:hyperlink r:id="rId12" w:history="1">
        <w:r w:rsidRPr="00625AEB">
          <w:rPr>
            <w:rStyle w:val="Hyperlink"/>
          </w:rPr>
          <w:t>https://doi.org/10.1016/j.jacc.2017.11.006</w:t>
        </w:r>
      </w:hyperlink>
    </w:p>
    <w:p w14:paraId="34E93F0C" w14:textId="77777777" w:rsidR="00442A1D" w:rsidRDefault="00442A1D" w:rsidP="008A288E"/>
    <w:sectPr w:rsidR="00442A1D">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92D58" w14:textId="77777777" w:rsidR="009B0F9B" w:rsidRDefault="009B0F9B">
      <w:pPr>
        <w:spacing w:after="0" w:line="240" w:lineRule="auto"/>
      </w:pPr>
      <w:r>
        <w:separator/>
      </w:r>
    </w:p>
  </w:endnote>
  <w:endnote w:type="continuationSeparator" w:id="0">
    <w:p w14:paraId="681E0F64" w14:textId="77777777" w:rsidR="009B0F9B" w:rsidRDefault="009B0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5FDFE" w14:textId="77777777" w:rsidR="009B0F9B" w:rsidRDefault="009B0F9B">
      <w:pPr>
        <w:spacing w:after="0" w:line="240" w:lineRule="auto"/>
      </w:pPr>
      <w:r>
        <w:separator/>
      </w:r>
    </w:p>
  </w:footnote>
  <w:footnote w:type="continuationSeparator" w:id="0">
    <w:p w14:paraId="2EDEB64F" w14:textId="77777777" w:rsidR="009B0F9B" w:rsidRDefault="009B0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658536"/>
      <w:docPartObj>
        <w:docPartGallery w:val="Page Numbers (Top of Page)"/>
        <w:docPartUnique/>
      </w:docPartObj>
    </w:sdtPr>
    <w:sdtEndPr>
      <w:rPr>
        <w:noProof/>
      </w:rPr>
    </w:sdtEndPr>
    <w:sdtContent>
      <w:p w14:paraId="3083DF52" w14:textId="77777777" w:rsidR="00A2494E" w:rsidRDefault="00AE101D">
        <w:pPr>
          <w:pStyle w:val="Header"/>
          <w:jc w:val="right"/>
        </w:pPr>
        <w:r>
          <w:fldChar w:fldCharType="begin"/>
        </w:r>
        <w:r>
          <w:instrText xml:space="preserve"> PAGE   \* MERGEFORMAT </w:instrText>
        </w:r>
        <w:r>
          <w:fldChar w:fldCharType="separate"/>
        </w:r>
        <w:r w:rsidR="00F023BC">
          <w:rPr>
            <w:noProof/>
          </w:rPr>
          <w:t>1</w:t>
        </w:r>
        <w:r>
          <w:rPr>
            <w:noProof/>
          </w:rPr>
          <w:fldChar w:fldCharType="end"/>
        </w:r>
      </w:p>
    </w:sdtContent>
  </w:sdt>
  <w:p w14:paraId="4E1B188B" w14:textId="77777777" w:rsidR="00A2494E" w:rsidRDefault="00A249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1DF"/>
    <w:rsid w:val="0002224A"/>
    <w:rsid w:val="00083086"/>
    <w:rsid w:val="00095200"/>
    <w:rsid w:val="000C3D34"/>
    <w:rsid w:val="00124BE1"/>
    <w:rsid w:val="00124ED6"/>
    <w:rsid w:val="001C07F5"/>
    <w:rsid w:val="001D49CA"/>
    <w:rsid w:val="00211E0F"/>
    <w:rsid w:val="0023665B"/>
    <w:rsid w:val="002C5FF0"/>
    <w:rsid w:val="002E73A5"/>
    <w:rsid w:val="0032618B"/>
    <w:rsid w:val="0033501A"/>
    <w:rsid w:val="003961DF"/>
    <w:rsid w:val="003F1759"/>
    <w:rsid w:val="00422AC4"/>
    <w:rsid w:val="00442A1D"/>
    <w:rsid w:val="00447B5E"/>
    <w:rsid w:val="00492DEB"/>
    <w:rsid w:val="005533F6"/>
    <w:rsid w:val="00583745"/>
    <w:rsid w:val="00615AC5"/>
    <w:rsid w:val="00625AEB"/>
    <w:rsid w:val="0068555D"/>
    <w:rsid w:val="00754ABA"/>
    <w:rsid w:val="0075745F"/>
    <w:rsid w:val="0076238E"/>
    <w:rsid w:val="00763C7A"/>
    <w:rsid w:val="007D7D1B"/>
    <w:rsid w:val="007F64E0"/>
    <w:rsid w:val="008421AB"/>
    <w:rsid w:val="00864672"/>
    <w:rsid w:val="00884760"/>
    <w:rsid w:val="008A288E"/>
    <w:rsid w:val="0092724E"/>
    <w:rsid w:val="00954300"/>
    <w:rsid w:val="00963732"/>
    <w:rsid w:val="009B0F9B"/>
    <w:rsid w:val="009E16D8"/>
    <w:rsid w:val="00A2494E"/>
    <w:rsid w:val="00A271A4"/>
    <w:rsid w:val="00A8743D"/>
    <w:rsid w:val="00AE101D"/>
    <w:rsid w:val="00B00E6B"/>
    <w:rsid w:val="00B0108F"/>
    <w:rsid w:val="00B452C0"/>
    <w:rsid w:val="00B768C0"/>
    <w:rsid w:val="00BD35EC"/>
    <w:rsid w:val="00BF165E"/>
    <w:rsid w:val="00C3784E"/>
    <w:rsid w:val="00D04088"/>
    <w:rsid w:val="00D10C88"/>
    <w:rsid w:val="00D5110D"/>
    <w:rsid w:val="00D74B54"/>
    <w:rsid w:val="00D75C11"/>
    <w:rsid w:val="00D81805"/>
    <w:rsid w:val="00E26DFE"/>
    <w:rsid w:val="00E93E1C"/>
    <w:rsid w:val="00ED1C6E"/>
    <w:rsid w:val="00F023BC"/>
    <w:rsid w:val="00F24FE1"/>
    <w:rsid w:val="00F7387A"/>
    <w:rsid w:val="00F85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DF"/>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1DF"/>
    <w:rPr>
      <w:rFonts w:ascii="Times New Roman" w:hAnsi="Times New Roman"/>
      <w:sz w:val="24"/>
    </w:rPr>
  </w:style>
  <w:style w:type="paragraph" w:styleId="Footer">
    <w:name w:val="footer"/>
    <w:basedOn w:val="Normal"/>
    <w:link w:val="FooterChar"/>
    <w:uiPriority w:val="99"/>
    <w:unhideWhenUsed/>
    <w:rsid w:val="003961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1DF"/>
    <w:rPr>
      <w:rFonts w:ascii="Times New Roman" w:hAnsi="Times New Roman"/>
      <w:sz w:val="24"/>
    </w:rPr>
  </w:style>
  <w:style w:type="character" w:customStyle="1" w:styleId="selectable">
    <w:name w:val="selectable"/>
    <w:basedOn w:val="DefaultParagraphFont"/>
    <w:rsid w:val="00D10C88"/>
  </w:style>
  <w:style w:type="character" w:styleId="Hyperlink">
    <w:name w:val="Hyperlink"/>
    <w:basedOn w:val="DefaultParagraphFont"/>
    <w:uiPriority w:val="99"/>
    <w:unhideWhenUsed/>
    <w:rsid w:val="00442A1D"/>
    <w:rPr>
      <w:color w:val="0563C1" w:themeColor="hyperlink"/>
      <w:u w:val="single"/>
    </w:rPr>
  </w:style>
  <w:style w:type="character" w:customStyle="1" w:styleId="UnresolvedMention1">
    <w:name w:val="Unresolved Mention1"/>
    <w:basedOn w:val="DefaultParagraphFont"/>
    <w:uiPriority w:val="99"/>
    <w:semiHidden/>
    <w:unhideWhenUsed/>
    <w:rsid w:val="00442A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DF"/>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1DF"/>
    <w:rPr>
      <w:rFonts w:ascii="Times New Roman" w:hAnsi="Times New Roman"/>
      <w:sz w:val="24"/>
    </w:rPr>
  </w:style>
  <w:style w:type="paragraph" w:styleId="Footer">
    <w:name w:val="footer"/>
    <w:basedOn w:val="Normal"/>
    <w:link w:val="FooterChar"/>
    <w:uiPriority w:val="99"/>
    <w:unhideWhenUsed/>
    <w:rsid w:val="003961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1DF"/>
    <w:rPr>
      <w:rFonts w:ascii="Times New Roman" w:hAnsi="Times New Roman"/>
      <w:sz w:val="24"/>
    </w:rPr>
  </w:style>
  <w:style w:type="character" w:customStyle="1" w:styleId="selectable">
    <w:name w:val="selectable"/>
    <w:basedOn w:val="DefaultParagraphFont"/>
    <w:rsid w:val="00D10C88"/>
  </w:style>
  <w:style w:type="character" w:styleId="Hyperlink">
    <w:name w:val="Hyperlink"/>
    <w:basedOn w:val="DefaultParagraphFont"/>
    <w:uiPriority w:val="99"/>
    <w:unhideWhenUsed/>
    <w:rsid w:val="00442A1D"/>
    <w:rPr>
      <w:color w:val="0563C1" w:themeColor="hyperlink"/>
      <w:u w:val="single"/>
    </w:rPr>
  </w:style>
  <w:style w:type="character" w:customStyle="1" w:styleId="UnresolvedMention1">
    <w:name w:val="Unresolved Mention1"/>
    <w:basedOn w:val="DefaultParagraphFont"/>
    <w:uiPriority w:val="99"/>
    <w:semiHidden/>
    <w:unhideWhenUsed/>
    <w:rsid w:val="00442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7/hlthaff.2017.112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3390/s18092772" TargetMode="External"/><Relationship Id="rId12" Type="http://schemas.openxmlformats.org/officeDocument/2006/relationships/hyperlink" Target="https://doi.org/10.1016/j.jacc.2017.11.00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097/md.000000000001720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books/NBK326723/" TargetMode="External"/><Relationship Id="rId4" Type="http://schemas.openxmlformats.org/officeDocument/2006/relationships/webSettings" Target="webSettings.xml"/><Relationship Id="rId9" Type="http://schemas.openxmlformats.org/officeDocument/2006/relationships/hyperlink" Target="https://doi.org/10.1007/s11920-017-0825-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pheowenga@gmail.com</dc:creator>
  <cp:lastModifiedBy>Kamande</cp:lastModifiedBy>
  <cp:revision>7</cp:revision>
  <dcterms:created xsi:type="dcterms:W3CDTF">2020-10-19T23:13:00Z</dcterms:created>
  <dcterms:modified xsi:type="dcterms:W3CDTF">2020-10-20T06:34:00Z</dcterms:modified>
</cp:coreProperties>
</file>